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0" w:rsidRDefault="00E01E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80" w:rsidRDefault="00006380">
      <w:pPr>
        <w:rPr>
          <w:rFonts w:ascii="Times New Roman" w:hAnsi="Times New Roman" w:cs="Times New Roman"/>
          <w:sz w:val="28"/>
          <w:szCs w:val="28"/>
        </w:rPr>
      </w:pPr>
    </w:p>
    <w:p w:rsidR="00006380" w:rsidRDefault="00E01E5A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006380" w:rsidRDefault="00E01E5A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19 июня 2020</w:t>
      </w:r>
    </w:p>
    <w:p w:rsidR="00006380" w:rsidRDefault="00E01E5A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Самарский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разъяснил, какие </w:t>
      </w:r>
      <w:proofErr w:type="spellStart"/>
      <w:r>
        <w:rPr>
          <w:rFonts w:ascii="Segoe UI" w:hAnsi="Segoe UI" w:cs="Segoe UI"/>
          <w:b/>
          <w:sz w:val="24"/>
          <w:szCs w:val="24"/>
        </w:rPr>
        <w:t>хозпостройки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</w:t>
      </w:r>
    </w:p>
    <w:p w:rsidR="00006380" w:rsidRDefault="00E01E5A">
      <w:pPr>
        <w:spacing w:after="0" w:line="276" w:lineRule="auto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sz w:val="24"/>
          <w:szCs w:val="24"/>
        </w:rPr>
        <w:t>можно оформить в собственность</w:t>
      </w:r>
    </w:p>
    <w:p w:rsidR="00006380" w:rsidRDefault="00E01E5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В Управлении Росреестра по Самарской области прошла прямая линия, в ходе которой заместитель начальника отдела правового обеспечения </w:t>
      </w:r>
      <w:r>
        <w:rPr>
          <w:rFonts w:ascii="Segoe UI" w:hAnsi="Segoe UI" w:cs="Segoe UI"/>
          <w:b/>
          <w:sz w:val="24"/>
          <w:szCs w:val="24"/>
        </w:rPr>
        <w:t xml:space="preserve">Константин </w:t>
      </w:r>
      <w:r>
        <w:rPr>
          <w:rFonts w:ascii="Segoe UI" w:hAnsi="Segoe UI" w:cs="Segoe UI"/>
          <w:b/>
          <w:sz w:val="24"/>
          <w:szCs w:val="24"/>
        </w:rPr>
        <w:t>Минин</w:t>
      </w:r>
      <w:r>
        <w:rPr>
          <w:rFonts w:ascii="Segoe UI" w:hAnsi="Segoe UI" w:cs="Segoe UI"/>
          <w:sz w:val="24"/>
          <w:szCs w:val="24"/>
        </w:rPr>
        <w:t xml:space="preserve"> отвечал на вопросы жителей Самарской области о регистрации прав на хозяйственные постройки. </w:t>
      </w:r>
    </w:p>
    <w:p w:rsidR="00006380" w:rsidRDefault="00E01E5A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Эксперт разъяснил, что далеко не каждый объект строительства является объектом недвижимости, права на которые подлежат государственной регистрации. Это означ</w:t>
      </w:r>
      <w:r>
        <w:rPr>
          <w:rFonts w:ascii="Segoe UI" w:hAnsi="Segoe UI" w:cs="Segoe UI"/>
          <w:sz w:val="24"/>
          <w:szCs w:val="24"/>
        </w:rPr>
        <w:t xml:space="preserve">ает, что не все возведенные строения можно оформить в собственность. Градостроительным законодательством определено понятие некапитальных строений и сооружений как объектов, не имеющих прочной связи с землей, которые можно переместить или демонтировать, а </w:t>
      </w:r>
      <w:r>
        <w:rPr>
          <w:rFonts w:ascii="Segoe UI" w:hAnsi="Segoe UI" w:cs="Segoe UI"/>
          <w:sz w:val="24"/>
          <w:szCs w:val="24"/>
        </w:rPr>
        <w:t>потом собрать без несоразмерного ущерба назначению и без изменения основных характеристик. К таковым, например, относятся беседки, навесы, душевые, туалеты и другие подобные строения.</w:t>
      </w:r>
    </w:p>
    <w:p w:rsidR="00006380" w:rsidRDefault="00E01E5A">
      <w:pPr>
        <w:spacing w:after="0" w:line="276" w:lineRule="auto"/>
        <w:ind w:firstLine="708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Вопрос об отнесении конкретного имущества к недвижимому должен разреша</w:t>
      </w:r>
      <w:r>
        <w:rPr>
          <w:rFonts w:ascii="Segoe UI" w:hAnsi="Segoe UI" w:cs="Segoe UI"/>
          <w:i/>
          <w:sz w:val="24"/>
          <w:szCs w:val="24"/>
        </w:rPr>
        <w:t>ться на стадии его создания, а также с учетом наличия самостоятельного назначения этого имущества по отношению к земельному участку, на котором оно расположено, и способности выступать в гражданском обороте в качестве отдельного объекта гражданских прав. В</w:t>
      </w:r>
      <w:r>
        <w:rPr>
          <w:rFonts w:ascii="Segoe UI" w:hAnsi="Segoe UI" w:cs="Segoe UI"/>
          <w:i/>
          <w:sz w:val="24"/>
          <w:szCs w:val="24"/>
        </w:rPr>
        <w:t>озможность регистрации права на хозяйственные постройки напрямую зависит от вида разрешенного использования земельного участка. Если земля предназначена под огородничество, то размещение на ней объектов капитального строительства запрещено законом. Правооб</w:t>
      </w:r>
      <w:r>
        <w:rPr>
          <w:rFonts w:ascii="Segoe UI" w:hAnsi="Segoe UI" w:cs="Segoe UI"/>
          <w:i/>
          <w:sz w:val="24"/>
          <w:szCs w:val="24"/>
        </w:rPr>
        <w:t xml:space="preserve">ладатель огородного земельного участка имеет право создавать на нем исключительно объекты, не являющиеся объектами недвижимости. </w:t>
      </w:r>
      <w:proofErr w:type="gramStart"/>
      <w:r>
        <w:rPr>
          <w:rFonts w:ascii="Segoe UI" w:hAnsi="Segoe UI" w:cs="Segoe UI"/>
          <w:i/>
          <w:sz w:val="24"/>
          <w:szCs w:val="24"/>
        </w:rPr>
        <w:t xml:space="preserve">А вот собственники садовых земельных участков могут возводить хозяйственные постройки как не являющиеся объектом недвижимости, </w:t>
      </w:r>
      <w:r>
        <w:rPr>
          <w:rFonts w:ascii="Segoe UI" w:hAnsi="Segoe UI" w:cs="Segoe UI"/>
          <w:i/>
          <w:sz w:val="24"/>
          <w:szCs w:val="24"/>
        </w:rPr>
        <w:t>так и являющиеся таковыми</w:t>
      </w:r>
      <w:proofErr w:type="gramEnd"/>
      <w:r>
        <w:rPr>
          <w:rFonts w:ascii="Segoe UI" w:hAnsi="Segoe UI" w:cs="Segoe UI"/>
          <w:i/>
          <w:sz w:val="24"/>
          <w:szCs w:val="24"/>
        </w:rPr>
        <w:t xml:space="preserve">, - </w:t>
      </w:r>
      <w:r>
        <w:rPr>
          <w:rFonts w:ascii="Segoe UI" w:hAnsi="Segoe UI" w:cs="Segoe UI"/>
          <w:sz w:val="24"/>
          <w:szCs w:val="24"/>
        </w:rPr>
        <w:t>говорит Константин Минин</w:t>
      </w:r>
      <w:r>
        <w:rPr>
          <w:rFonts w:ascii="Segoe UI" w:hAnsi="Segoe UI" w:cs="Segoe UI"/>
          <w:i/>
          <w:sz w:val="24"/>
          <w:szCs w:val="24"/>
        </w:rPr>
        <w:t>.</w:t>
      </w:r>
    </w:p>
    <w:p w:rsidR="00006380" w:rsidRDefault="00E01E5A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Следует отметить, что отнесение объекта строительства к объектам недвижимости осуществляется по результатам выполнения кадастровых работ. Поэтому, если принято решение об оформлении недвижимости, прежд</w:t>
      </w:r>
      <w:r>
        <w:rPr>
          <w:rFonts w:ascii="Segoe UI" w:hAnsi="Segoe UI" w:cs="Segoe UI"/>
          <w:sz w:val="24"/>
          <w:szCs w:val="24"/>
        </w:rPr>
        <w:t xml:space="preserve">е всего необходимо пригласить кадастрового инженера, чтобы он подготовил технический план объекта недвижимости. В </w:t>
      </w:r>
      <w:proofErr w:type="spellStart"/>
      <w:r>
        <w:rPr>
          <w:rFonts w:ascii="Segoe UI" w:hAnsi="Segoe UI" w:cs="Segoe UI"/>
          <w:sz w:val="24"/>
          <w:szCs w:val="24"/>
        </w:rPr>
        <w:t>техплане</w:t>
      </w:r>
      <w:proofErr w:type="spellEnd"/>
      <w:r>
        <w:rPr>
          <w:rFonts w:ascii="Segoe UI" w:hAnsi="Segoe UI" w:cs="Segoe UI"/>
          <w:sz w:val="24"/>
          <w:szCs w:val="24"/>
        </w:rPr>
        <w:t xml:space="preserve"> кадастровый инженер указывает характеристики объекта недвижимости, в том числе площадь, материалы стен, год постройки. В свою очередь</w:t>
      </w:r>
      <w:r>
        <w:rPr>
          <w:rFonts w:ascii="Segoe UI" w:hAnsi="Segoe UI" w:cs="Segoe UI"/>
          <w:sz w:val="24"/>
          <w:szCs w:val="24"/>
        </w:rPr>
        <w:t>, кадастровый инженер обязан отказаться от заключения договора подряда на выполнение кадастровых работ в случае, если объект (в отношении которого планируется выполнение таких работ) не является объектом недвижимости, права на который подлежат государствен</w:t>
      </w:r>
      <w:r>
        <w:rPr>
          <w:rFonts w:ascii="Segoe UI" w:hAnsi="Segoe UI" w:cs="Segoe UI"/>
          <w:sz w:val="24"/>
          <w:szCs w:val="24"/>
        </w:rPr>
        <w:t>ной регистрации.</w:t>
      </w:r>
    </w:p>
    <w:p w:rsidR="00006380" w:rsidRDefault="00E01E5A">
      <w:pPr>
        <w:autoSpaceDE w:val="0"/>
        <w:autoSpaceDN w:val="0"/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Регистрация права в большинстве случаев носит заявительный характер, поэтому право на хозяйственную постройку будет зарегистрировано только в том случае, если владелец недвижимости обратится в Управление Росреестра. С заявлением о постанов</w:t>
      </w:r>
      <w:r>
        <w:rPr>
          <w:rFonts w:ascii="Segoe UI" w:hAnsi="Segoe UI" w:cs="Segoe UI"/>
          <w:sz w:val="24"/>
          <w:szCs w:val="24"/>
        </w:rPr>
        <w:t xml:space="preserve">ке на кадастровый учет и регистрации права на </w:t>
      </w:r>
      <w:proofErr w:type="spellStart"/>
      <w:r>
        <w:rPr>
          <w:rFonts w:ascii="Segoe UI" w:hAnsi="Segoe UI" w:cs="Segoe UI"/>
          <w:sz w:val="24"/>
          <w:szCs w:val="24"/>
        </w:rPr>
        <w:t>хозпостройку</w:t>
      </w:r>
      <w:proofErr w:type="spellEnd"/>
      <w:r>
        <w:rPr>
          <w:rFonts w:ascii="Segoe UI" w:hAnsi="Segoe UI" w:cs="Segoe UI"/>
          <w:sz w:val="24"/>
          <w:szCs w:val="24"/>
        </w:rPr>
        <w:t xml:space="preserve"> подается минимальный комплект документов: документ, подтверждающий право собственности заявителя на земельный участок (если ранее право собственности на него не было зарегистрировано в установленно</w:t>
      </w:r>
      <w:r>
        <w:rPr>
          <w:rFonts w:ascii="Segoe UI" w:hAnsi="Segoe UI" w:cs="Segoe UI"/>
          <w:sz w:val="24"/>
          <w:szCs w:val="24"/>
        </w:rPr>
        <w:t xml:space="preserve">м порядке) и технический план, подготовленный на основании декларации.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Государственная пошлина при первичной регистрации права на вновь созданный объект недвижимости на земельном участке для ведения личного подсобного хозяйства (приусадебный участок), садо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водства, индивидуального жилищного строительства составит 350 рублей. Срок регистрации права на недвижимость - 12 рабочих дней.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006380" w:rsidRDefault="00E01E5A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Константин Минин также обратил внимание, что собственник земельного участка имеет право осуществлять застройку своего участка только в соответствии с его целевым назначением и разрешенным использованием с соблюдением требований градостроительных регламенто</w:t>
      </w:r>
      <w:r>
        <w:rPr>
          <w:rFonts w:ascii="Segoe UI" w:hAnsi="Segoe UI" w:cs="Segoe UI"/>
          <w:sz w:val="24"/>
          <w:szCs w:val="24"/>
        </w:rPr>
        <w:t xml:space="preserve">в, строительных, экологических, санитарно-гигиенических, противопожарных и иных правил и нормативов. </w:t>
      </w:r>
    </w:p>
    <w:p w:rsidR="00006380" w:rsidRDefault="000063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</w:p>
    <w:p w:rsidR="00006380" w:rsidRDefault="00E01E5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006380" w:rsidRDefault="00E01E5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006380" w:rsidRDefault="00E01E5A">
      <w:pPr>
        <w:spacing w:after="0" w:line="240" w:lineRule="auto"/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006380" w:rsidRDefault="00006380">
      <w:pPr>
        <w:spacing w:after="0" w:line="240" w:lineRule="auto"/>
      </w:pPr>
    </w:p>
    <w:p w:rsidR="00006380" w:rsidRDefault="00006380">
      <w:pPr>
        <w:spacing w:after="0" w:line="240" w:lineRule="auto"/>
      </w:pPr>
    </w:p>
    <w:p w:rsidR="00006380" w:rsidRDefault="00006380">
      <w:pPr>
        <w:spacing w:after="0" w:line="240" w:lineRule="auto"/>
      </w:pPr>
    </w:p>
    <w:p w:rsidR="00006380" w:rsidRDefault="00E01E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Суздальцева О.Г.</w:t>
      </w:r>
    </w:p>
    <w:p w:rsidR="00006380" w:rsidRDefault="00006380">
      <w:pPr>
        <w:spacing w:after="0" w:line="240" w:lineRule="auto"/>
        <w:rPr>
          <w:sz w:val="24"/>
          <w:szCs w:val="24"/>
        </w:rPr>
      </w:pPr>
    </w:p>
    <w:p w:rsidR="00006380" w:rsidRDefault="00E01E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Панфилов А.М.</w:t>
      </w:r>
    </w:p>
    <w:p w:rsidR="00006380" w:rsidRDefault="00006380">
      <w:pPr>
        <w:spacing w:after="0" w:line="240" w:lineRule="auto"/>
        <w:rPr>
          <w:sz w:val="24"/>
          <w:szCs w:val="24"/>
        </w:rPr>
      </w:pPr>
    </w:p>
    <w:p w:rsidR="00006380" w:rsidRDefault="00E01E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Минин К.С.</w:t>
      </w:r>
    </w:p>
    <w:p w:rsidR="00006380" w:rsidRDefault="00006380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00638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80"/>
    <w:rsid w:val="00006380"/>
    <w:rsid w:val="00E0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01E59-6C59-4D40-9E46-72335542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B743-8923-49FC-9F1E-E52BAD7C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2020-07-02T10:10:00Z</cp:lastPrinted>
  <dcterms:created xsi:type="dcterms:W3CDTF">2020-07-02T10:10:00Z</dcterms:created>
  <dcterms:modified xsi:type="dcterms:W3CDTF">2020-07-02T10:10:00Z</dcterms:modified>
</cp:coreProperties>
</file>